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Erect scaffold, front elevation, 3 lifts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£1,100.00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£1,100.00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Hire period beyond the first 4 weeks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weeks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£170.00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Dismantle and remove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£1,620.00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£324.00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£1,944.00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Scaffolder invoice template from taptax.co.uk/invoice-templates/scaffolder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Scaffolder invoice template</dc:title>
  <dc:creator>TapTax</dc:creator>
</cp:coreProperties>
</file>