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Graffiti removal, brick wall (per m²)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£216.00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Anti-graffiti coating (per m²)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£144.00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Call-out charge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£435.00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£435.00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Graffiti removal specialist invoice template from taptax.co.uk/invoice-templates/graffiti-removal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Graffiti removal specialist invoice template</dc:title>
  <dc:creator>TapTax</dc:creator>
</cp:coreProperties>
</file>